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20" w:footer="720"/>
          <w:pgNumType w:start="1"/>
        </w:sectPr>
      </w:pPr>
      <w:bookmarkStart w:colFirst="0" w:colLast="0" w:name="_gjdgxs" w:id="0"/>
      <w:bookmarkEnd w:id="0"/>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2767013</wp:posOffset>
                </wp:positionV>
                <wp:extent cx="6286500" cy="6690993"/>
                <wp:effectExtent b="0" l="0" r="0" t="0"/>
                <wp:wrapNone/>
                <wp:docPr id="1" name=""/>
                <a:graphic>
                  <a:graphicData uri="http://schemas.microsoft.com/office/word/2010/wordprocessingGroup">
                    <wpg:wgp>
                      <wpg:cNvGrpSpPr/>
                      <wpg:grpSpPr>
                        <a:xfrm>
                          <a:off x="2202750" y="434500"/>
                          <a:ext cx="6286500" cy="6690993"/>
                          <a:chOff x="2202750" y="434500"/>
                          <a:chExt cx="6286500" cy="6691000"/>
                        </a:xfrm>
                      </wpg:grpSpPr>
                      <wpg:grpSp>
                        <wpg:cNvGrpSpPr/>
                        <wpg:grpSpPr>
                          <a:xfrm>
                            <a:off x="2202750" y="434504"/>
                            <a:ext cx="6286500" cy="6690993"/>
                            <a:chOff x="2202750" y="434500"/>
                            <a:chExt cx="6286500" cy="6691000"/>
                          </a:xfrm>
                        </wpg:grpSpPr>
                        <wps:wsp>
                          <wps:cNvSpPr/>
                          <wps:cNvPr id="3" name="Shape 3"/>
                          <wps:spPr>
                            <a:xfrm>
                              <a:off x="2202750" y="434500"/>
                              <a:ext cx="6286500" cy="6691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434504"/>
                              <a:ext cx="6286500" cy="6690993"/>
                              <a:chOff x="2202750" y="434500"/>
                              <a:chExt cx="6286500" cy="6691000"/>
                            </a:xfrm>
                          </wpg:grpSpPr>
                          <wps:wsp>
                            <wps:cNvSpPr/>
                            <wps:cNvPr id="5" name="Shape 5"/>
                            <wps:spPr>
                              <a:xfrm>
                                <a:off x="2202750" y="434500"/>
                                <a:ext cx="6286500" cy="6691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434504"/>
                                <a:ext cx="6286500" cy="6690993"/>
                                <a:chOff x="2202750" y="434500"/>
                                <a:chExt cx="6286500" cy="6691000"/>
                              </a:xfrm>
                            </wpg:grpSpPr>
                            <wps:wsp>
                              <wps:cNvSpPr/>
                              <wps:cNvPr id="7" name="Shape 7"/>
                              <wps:spPr>
                                <a:xfrm>
                                  <a:off x="2202750" y="434500"/>
                                  <a:ext cx="6286500" cy="6691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434504"/>
                                  <a:ext cx="6286500" cy="6690993"/>
                                  <a:chOff x="1401150" y="0"/>
                                  <a:chExt cx="7088125" cy="7560000"/>
                                </a:xfrm>
                              </wpg:grpSpPr>
                              <wps:wsp>
                                <wps:cNvSpPr/>
                                <wps:cNvPr id="9" name="Shape 9"/>
                                <wps:spPr>
                                  <a:xfrm>
                                    <a:off x="1401150" y="0"/>
                                    <a:ext cx="70881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01156" y="0"/>
                                    <a:ext cx="7088094" cy="7560000"/>
                                    <a:chOff x="1401156" y="0"/>
                                    <a:chExt cx="7088094" cy="7560000"/>
                                  </a:xfrm>
                                </wpg:grpSpPr>
                                <wps:wsp>
                                  <wps:cNvSpPr/>
                                  <wps:cNvPr id="11" name="Shape 11"/>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01156" y="0"/>
                                      <a:ext cx="7088094" cy="7560000"/>
                                      <a:chOff x="-934994" y="-2276513"/>
                                      <a:chExt cx="7088472" cy="8320544"/>
                                    </a:xfrm>
                                  </wpg:grpSpPr>
                                  <wps:wsp>
                                    <wps:cNvSpPr/>
                                    <wps:cNvPr id="13" name="Shape 13"/>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5" name="Shape 15"/>
                                    <wps:spPr>
                                      <a:xfrm>
                                        <a:off x="-934994" y="-1026417"/>
                                        <a:ext cx="6286800" cy="46170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RM6116 Network Services 3</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2767013</wp:posOffset>
                </wp:positionV>
                <wp:extent cx="6286500" cy="6690993"/>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286500" cy="6690993"/>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96526</wp:posOffset>
            </wp:positionH>
            <wp:positionV relativeFrom="paragraph">
              <wp:posOffset>1698625</wp:posOffset>
            </wp:positionV>
            <wp:extent cx="1647190" cy="1371600"/>
            <wp:effectExtent b="0" l="0" r="0" t="0"/>
            <wp:wrapNone/>
            <wp:docPr descr="Crown Commercial Service" id="2" name="image1.png"/>
            <a:graphic>
              <a:graphicData uri="http://schemas.openxmlformats.org/drawingml/2006/picture">
                <pic:pic>
                  <pic:nvPicPr>
                    <pic:cNvPr descr="Crown Commercial Service" id="0" name="image1.png"/>
                    <pic:cNvPicPr preferRelativeResize="0"/>
                  </pic:nvPicPr>
                  <pic:blipFill>
                    <a:blip r:embed="rId11"/>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w:t>
      </w:r>
      <w:r w:rsidDel="00000000" w:rsidR="00000000" w:rsidRPr="00000000">
        <w:rPr>
          <w:rFonts w:ascii="Arial" w:cs="Arial" w:eastAsia="Arial" w:hAnsi="Arial"/>
          <w:sz w:val="24"/>
          <w:szCs w:val="24"/>
          <w:highlight w:val="white"/>
          <w:rtl w:val="0"/>
        </w:rPr>
        <w:t xml:space="preserve">RM6116 Network Services 3.</w:t>
      </w:r>
      <w:r w:rsidDel="00000000" w:rsidR="00000000" w:rsidRPr="00000000">
        <w:rPr>
          <w:rFonts w:ascii="Arial" w:cs="Arial" w:eastAsia="Arial" w:hAnsi="Arial"/>
          <w:sz w:val="24"/>
          <w:szCs w:val="24"/>
          <w:rtl w:val="0"/>
        </w:rPr>
        <w:t xml:space="preserve"> It summarises the main features of the procurement and includes CCS and the Supplier’s contact details.</w:t>
      </w:r>
    </w:p>
    <w:tbl>
      <w:tblPr>
        <w:tblStyle w:val="Table1"/>
        <w:tblW w:w="10531.0" w:type="dxa"/>
        <w:jc w:val="left"/>
        <w:tblInd w:w="-83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
              <w:gridCol w:w="7020"/>
              <w:tblGridChange w:id="0">
                <w:tblGrid>
                  <w:gridCol w:w="270"/>
                  <w:gridCol w:w="7020"/>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E">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[Supplier Name]</w:t>
                  </w:r>
                </w:p>
                <w:p w:rsidR="00000000" w:rsidDel="00000000" w:rsidP="00000000" w:rsidRDefault="00000000" w:rsidRPr="00000000" w14:paraId="0000000F">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 [Supplier Address]</w:t>
                  </w:r>
                </w:p>
                <w:p w:rsidR="00000000" w:rsidDel="00000000" w:rsidP="00000000" w:rsidRDefault="00000000" w:rsidRPr="00000000" w14:paraId="00000010">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Registration number:   [Supplier Registration]</w:t>
                  </w:r>
                </w:p>
                <w:p w:rsidR="00000000" w:rsidDel="00000000" w:rsidP="00000000" w:rsidRDefault="00000000" w:rsidRPr="00000000" w14:paraId="00000011">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SID4GOV ID: [Supplier SID4GOV ID]</w:t>
                  </w:r>
                </w:p>
                <w:p w:rsidR="00000000" w:rsidDel="00000000" w:rsidP="00000000" w:rsidRDefault="00000000" w:rsidRPr="00000000" w14:paraId="00000012">
                  <w:pPr>
                    <w:spacing w:after="0" w:lineRule="auto"/>
                    <w:rPr>
                      <w:rFonts w:ascii="Arial" w:cs="Arial" w:eastAsia="Arial" w:hAnsi="Arial"/>
                      <w:b w:val="1"/>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7">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9">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A">
                  <w:pPr>
                    <w:spacing w:after="0" w:lineRule="auto"/>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FrFramework Contract</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w:t>
            </w:r>
            <w:r w:rsidDel="00000000" w:rsidR="00000000" w:rsidRPr="00000000">
              <w:rPr>
                <w:rFonts w:ascii="Arial" w:cs="Arial" w:eastAsia="Arial" w:hAnsi="Arial"/>
                <w:sz w:val="24"/>
                <w:szCs w:val="24"/>
                <w:rtl w:val="0"/>
              </w:rPr>
              <w:t xml:space="preserve"> [Lot]. Yo</w:t>
            </w:r>
            <w:r w:rsidDel="00000000" w:rsidR="00000000" w:rsidRPr="00000000">
              <w:rPr>
                <w:rFonts w:ascii="Arial" w:cs="Arial" w:eastAsia="Arial" w:hAnsi="Arial"/>
                <w:color w:val="000000"/>
                <w:sz w:val="24"/>
                <w:szCs w:val="24"/>
                <w:rtl w:val="0"/>
              </w:rPr>
              <w:t xml:space="preserve">u cannot deliver in any other Lot under this contract. Any references made to other Lots in this contract do not apply.</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b0c0c"/>
                <w:sz w:val="24"/>
                <w:szCs w:val="24"/>
                <w:highlight w:val="white"/>
                <w:rtl w:val="0"/>
              </w:rPr>
              <w:t xml:space="preserve">2022/S 000-032820</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1">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spacing w:after="0" w:lineRule="auto"/>
              <w:ind w:right="93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18</w:t>
            </w:r>
            <w:r w:rsidDel="00000000" w:rsidR="00000000" w:rsidRPr="00000000">
              <w:rPr>
                <w:rFonts w:ascii="Arial" w:cs="Arial" w:eastAsia="Arial" w:hAnsi="Arial"/>
                <w:color w:val="000000"/>
                <w:sz w:val="24"/>
                <w:szCs w:val="24"/>
                <w:rtl w:val="0"/>
              </w:rPr>
              <w:t xml:space="preserve">/0</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/2023 </w:t>
            </w:r>
          </w:p>
        </w:tc>
      </w:tr>
      <w:tr>
        <w:trPr>
          <w:cantSplit w:val="0"/>
          <w:trHeight w:val="60" w:hRule="atLeast"/>
          <w:tblHeader w:val="0"/>
        </w:trPr>
        <w:tc>
          <w:tcPr/>
          <w:p w:rsidR="00000000" w:rsidDel="00000000" w:rsidP="00000000" w:rsidRDefault="00000000" w:rsidRPr="00000000" w14:paraId="0000002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spacing w:after="0" w:lineRule="auto"/>
              <w:ind w:right="93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17</w:t>
            </w:r>
            <w:r w:rsidDel="00000000" w:rsidR="00000000" w:rsidRPr="00000000">
              <w:rPr>
                <w:rFonts w:ascii="Arial" w:cs="Arial" w:eastAsia="Arial" w:hAnsi="Arial"/>
                <w:color w:val="000000"/>
                <w:sz w:val="24"/>
                <w:szCs w:val="24"/>
                <w:rtl w:val="0"/>
              </w:rPr>
              <w:t xml:space="preserve">/0</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/2025</w:t>
            </w:r>
          </w:p>
        </w:tc>
      </w:tr>
      <w:tr>
        <w:trPr>
          <w:cantSplit w:val="0"/>
          <w:trHeight w:val="471" w:hRule="atLeast"/>
          <w:tblHeader w:val="0"/>
        </w:trPr>
        <w:tc>
          <w:tcPr/>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duration of the Framework is 2 years, with an option to extend for 2 periods of 1 year (2 + 1 + 1)</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8">
            <w:pPr>
              <w:numPr>
                <w:ilvl w:val="0"/>
                <w:numId w:val="3"/>
              </w:numPr>
              <w:spacing w:after="0" w:lineRule="auto"/>
              <w:ind w:left="720" w:right="936" w:hanging="360"/>
              <w:rPr>
                <w:color w:val="000000"/>
                <w:sz w:val="24"/>
                <w:szCs w:val="24"/>
              </w:rPr>
            </w:pPr>
            <w:r w:rsidDel="00000000" w:rsidR="00000000" w:rsidRPr="00000000">
              <w:rPr>
                <w:rFonts w:ascii="Arial" w:cs="Arial" w:eastAsia="Arial" w:hAnsi="Arial"/>
                <w:color w:val="000000"/>
                <w:sz w:val="24"/>
                <w:szCs w:val="24"/>
                <w:rtl w:val="0"/>
              </w:rPr>
              <w:t xml:space="preserve">further competition</w:t>
            </w:r>
            <w:r w:rsidDel="00000000" w:rsidR="00000000" w:rsidRPr="00000000">
              <w:rPr>
                <w:rtl w:val="0"/>
              </w:rPr>
            </w:r>
          </w:p>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spacing w:after="0" w:lineRule="auto"/>
              <w:ind w:left="720" w:right="936" w:hanging="360"/>
              <w:rPr>
                <w:color w:val="000000"/>
                <w:sz w:val="24"/>
                <w:szCs w:val="24"/>
              </w:rPr>
            </w:pPr>
            <w:r w:rsidDel="00000000" w:rsidR="00000000" w:rsidRPr="00000000">
              <w:rPr>
                <w:rFonts w:ascii="Arial" w:cs="Arial" w:eastAsia="Arial" w:hAnsi="Arial"/>
                <w:color w:val="000000"/>
                <w:sz w:val="24"/>
                <w:szCs w:val="24"/>
                <w:rtl w:val="0"/>
              </w:rPr>
              <w:t xml:space="preserve">direct award</w:t>
            </w:r>
            <w:r w:rsidDel="00000000" w:rsidR="00000000" w:rsidRPr="00000000">
              <w:rPr>
                <w:rtl w:val="0"/>
              </w:rPr>
            </w:r>
          </w:p>
          <w:p w:rsidR="00000000" w:rsidDel="00000000" w:rsidP="00000000" w:rsidRDefault="00000000" w:rsidRPr="00000000" w14:paraId="0000003A">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3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C">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sz w:val="24"/>
                <w:szCs w:val="24"/>
              </w:rPr>
            </w:pPr>
            <w:r w:rsidDel="00000000" w:rsidR="00000000" w:rsidRPr="00000000">
              <w:rPr>
                <w:rtl w:val="0"/>
              </w:rPr>
            </w:r>
          </w:p>
        </w:tc>
        <w:tc>
          <w:tcPr>
            <w:shd w:fill="ffffff" w:val="clear"/>
          </w:tcPr>
          <w:p w:rsidR="00000000" w:rsidDel="00000000" w:rsidP="00000000" w:rsidRDefault="00000000" w:rsidRPr="00000000" w14:paraId="0000005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w:t>
            </w:r>
            <w:r w:rsidDel="00000000" w:rsidR="00000000" w:rsidRPr="00000000">
              <w:rPr>
                <w:rFonts w:ascii="Arial" w:cs="Arial" w:eastAsia="Arial" w:hAnsi="Arial"/>
                <w:color w:val="000000"/>
                <w:sz w:val="24"/>
                <w:szCs w:val="24"/>
                <w:highlight w:val="white"/>
                <w:rtl w:val="0"/>
              </w:rPr>
              <w:t xml:space="preserve">RM6116 </w:t>
            </w:r>
            <w:r w:rsidDel="00000000" w:rsidR="00000000" w:rsidRPr="00000000">
              <w:rPr>
                <w:rtl w:val="0"/>
              </w:rPr>
            </w:r>
          </w:p>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17 (MOD Terms)</w:t>
            </w:r>
          </w:p>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w:t>
            </w:r>
            <w:r w:rsidDel="00000000" w:rsidR="00000000" w:rsidRPr="00000000">
              <w:rPr>
                <w:rFonts w:ascii="Arial" w:cs="Arial" w:eastAsia="Arial" w:hAnsi="Arial"/>
                <w:color w:val="000000"/>
                <w:sz w:val="24"/>
                <w:szCs w:val="24"/>
                <w:highlight w:val="white"/>
                <w:rtl w:val="0"/>
              </w:rPr>
              <w:t xml:space="preserve">RM6116</w:t>
            </w:r>
            <w:r w:rsidDel="00000000" w:rsidR="00000000" w:rsidRPr="00000000">
              <w:rPr>
                <w:rtl w:val="0"/>
              </w:rPr>
            </w:r>
          </w:p>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w:t>
            </w:r>
            <w:r w:rsidDel="00000000" w:rsidR="00000000" w:rsidRPr="00000000">
              <w:rPr>
                <w:rFonts w:ascii="Arial" w:cs="Arial" w:eastAsia="Arial" w:hAnsi="Arial"/>
                <w:color w:val="000000"/>
                <w:sz w:val="24"/>
                <w:szCs w:val="24"/>
                <w:highlight w:val="white"/>
                <w:rtl w:val="0"/>
              </w:rPr>
              <w:t xml:space="preserve">RM6116 </w:t>
            </w:r>
            <w:r w:rsidDel="00000000" w:rsidR="00000000" w:rsidRPr="00000000">
              <w:rPr>
                <w:rFonts w:ascii="Arial" w:cs="Arial" w:eastAsia="Arial" w:hAnsi="Arial"/>
                <w:color w:val="000000"/>
                <w:sz w:val="24"/>
                <w:szCs w:val="24"/>
                <w:rtl w:val="0"/>
              </w:rPr>
              <w:t xml:space="preserve">(in equal order of precedence):</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r w:rsidDel="00000000" w:rsidR="00000000" w:rsidRPr="00000000">
              <w:rPr>
                <w:rtl w:val="0"/>
              </w:rPr>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r w:rsidDel="00000000" w:rsidR="00000000" w:rsidRPr="00000000">
              <w:rPr>
                <w:rtl w:val="0"/>
              </w:rPr>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r w:rsidDel="00000000" w:rsidR="00000000" w:rsidRPr="00000000">
              <w:rPr>
                <w:rtl w:val="0"/>
              </w:rPr>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4 (Call-Off Tender)</w:t>
              <w:tab/>
              <w:tab/>
            </w:r>
            <w:r w:rsidDel="00000000" w:rsidR="00000000" w:rsidRPr="00000000">
              <w:rPr>
                <w:rtl w:val="0"/>
              </w:rPr>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5 </w:t>
            </w: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color w:val="000000"/>
                <w:sz w:val="24"/>
                <w:szCs w:val="24"/>
                <w:highlight w:val="white"/>
                <w:rtl w:val="0"/>
              </w:rPr>
              <w:t xml:space="preserve">Pricing Details)</w:t>
              <w:tab/>
              <w:t xml:space="preserve">           </w:t>
            </w:r>
            <w:r w:rsidDel="00000000" w:rsidR="00000000" w:rsidRPr="00000000">
              <w:rPr>
                <w:rtl w:val="0"/>
              </w:rPr>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6 (ICT Services) </w:t>
              <w:tab/>
              <w:tab/>
            </w:r>
            <w:r w:rsidDel="00000000" w:rsidR="00000000" w:rsidRPr="00000000">
              <w:rPr>
                <w:rtl w:val="0"/>
              </w:rPr>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7 (Key Supplier Staff)</w:t>
              <w:tab/>
              <w:tab/>
            </w:r>
            <w:r w:rsidDel="00000000" w:rsidR="00000000" w:rsidRPr="00000000">
              <w:rPr>
                <w:rtl w:val="0"/>
              </w:rPr>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 </w:t>
            </w:r>
            <w:r w:rsidDel="00000000" w:rsidR="00000000" w:rsidRPr="00000000">
              <w:rPr>
                <w:rtl w:val="0"/>
              </w:rPr>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r>
            <w:r w:rsidDel="00000000" w:rsidR="00000000" w:rsidRPr="00000000">
              <w:rPr>
                <w:rtl w:val="0"/>
              </w:rPr>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r>
            <w:r w:rsidDel="00000000" w:rsidR="00000000" w:rsidRPr="00000000">
              <w:rPr>
                <w:rtl w:val="0"/>
              </w:rPr>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11 (Installation Works) </w:t>
              <w:tab/>
            </w:r>
            <w:r w:rsidDel="00000000" w:rsidR="00000000" w:rsidRPr="00000000">
              <w:rPr>
                <w:rtl w:val="0"/>
              </w:rPr>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12 (Clustering) </w:t>
              <w:tab/>
              <w:tab/>
            </w:r>
            <w:r w:rsidDel="00000000" w:rsidR="00000000" w:rsidRPr="00000000">
              <w:rPr>
                <w:rtl w:val="0"/>
              </w:rPr>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w:t>
            </w:r>
            <w:r w:rsidDel="00000000" w:rsidR="00000000" w:rsidRPr="00000000">
              <w:rPr>
                <w:rtl w:val="0"/>
              </w:rPr>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r>
            <w:r w:rsidDel="00000000" w:rsidR="00000000" w:rsidRPr="00000000">
              <w:rPr>
                <w:rtl w:val="0"/>
              </w:rPr>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w:t>
            </w:r>
            <w:r w:rsidDel="00000000" w:rsidR="00000000" w:rsidRPr="00000000">
              <w:rPr>
                <w:rFonts w:ascii="Arial" w:cs="Arial" w:eastAsia="Arial" w:hAnsi="Arial"/>
                <w:color w:val="000000"/>
                <w:sz w:val="24"/>
                <w:szCs w:val="24"/>
                <w:rtl w:val="0"/>
              </w:rPr>
              <w:t xml:space="preserve">Management)]</w:t>
            </w:r>
            <w:r w:rsidDel="00000000" w:rsidR="00000000" w:rsidRPr="00000000">
              <w:rPr>
                <w:rtl w:val="0"/>
              </w:rPr>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w:t>
            </w:r>
            <w:r w:rsidDel="00000000" w:rsidR="00000000" w:rsidRPr="00000000">
              <w:rPr>
                <w:rtl w:val="0"/>
              </w:rPr>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w:t>
            </w:r>
            <w:r w:rsidDel="00000000" w:rsidR="00000000" w:rsidRPr="00000000">
              <w:rPr>
                <w:rtl w:val="0"/>
              </w:rPr>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19 (Scottish Law)</w:t>
            </w:r>
            <w:r w:rsidDel="00000000" w:rsidR="00000000" w:rsidRPr="00000000">
              <w:rPr>
                <w:rtl w:val="0"/>
              </w:rPr>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r>
            <w:r w:rsidDel="00000000" w:rsidR="00000000" w:rsidRPr="00000000">
              <w:rPr>
                <w:rtl w:val="0"/>
              </w:rPr>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w:t>
            </w:r>
            <w:r w:rsidDel="00000000" w:rsidR="00000000" w:rsidRPr="00000000">
              <w:rPr>
                <w:rtl w:val="0"/>
              </w:rPr>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22 (Lease Terms)</w:t>
            </w:r>
            <w:r w:rsidDel="00000000" w:rsidR="00000000" w:rsidRPr="00000000">
              <w:rPr>
                <w:rtl w:val="0"/>
              </w:rPr>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23 (HMRC Terms)</w:t>
            </w:r>
            <w:r w:rsidDel="00000000" w:rsidR="00000000" w:rsidRPr="00000000">
              <w:rPr>
                <w:rtl w:val="0"/>
              </w:rPr>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24 (Supplier Furnished Terms)</w:t>
            </w:r>
            <w:r w:rsidDel="00000000" w:rsidR="00000000" w:rsidRPr="00000000">
              <w:rPr>
                <w:rtl w:val="0"/>
              </w:rPr>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7 (Call-Off Award Procedure)</w:t>
            </w:r>
            <w:r w:rsidDel="00000000" w:rsidR="00000000" w:rsidRPr="00000000">
              <w:rPr>
                <w:rtl w:val="0"/>
              </w:rPr>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8 (Self Audit Certificate)</w:t>
            </w:r>
            <w:r w:rsidDel="00000000" w:rsidR="00000000" w:rsidRPr="00000000">
              <w:rPr>
                <w:rtl w:val="0"/>
              </w:rPr>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9 (Cyber Essentials Scheme) </w:t>
            </w:r>
            <w:r w:rsidDel="00000000" w:rsidR="00000000" w:rsidRPr="00000000">
              <w:rPr>
                <w:rtl w:val="0"/>
              </w:rPr>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2 (Variation Form)</w:t>
            </w:r>
            <w:r w:rsidDel="00000000" w:rsidR="00000000" w:rsidRPr="00000000">
              <w:rPr>
                <w:rtl w:val="0"/>
              </w:rPr>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3 (Insurance Requirements)</w:t>
            </w:r>
            <w:r w:rsidDel="00000000" w:rsidR="00000000" w:rsidRPr="00000000">
              <w:rPr>
                <w:rtl w:val="0"/>
              </w:rPr>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4 (Commercially Sensitive Information)</w:t>
            </w: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6 (Key Subcontractors)</w:t>
            </w:r>
            <w:r w:rsidDel="00000000" w:rsidR="00000000" w:rsidRPr="00000000">
              <w:rPr>
                <w:rtl w:val="0"/>
              </w:rPr>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7 (Financial Difficulties)</w:t>
            </w:r>
            <w:r w:rsidDel="00000000" w:rsidR="00000000" w:rsidRPr="00000000">
              <w:rPr>
                <w:rtl w:val="0"/>
              </w:rPr>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8 (Guarantee)</w:t>
            </w: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9 (Minimum Standards of Reliability)</w:t>
            </w:r>
            <w:r w:rsidDel="00000000" w:rsidR="00000000" w:rsidRPr="00000000">
              <w:rPr>
                <w:rtl w:val="0"/>
              </w:rPr>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10 (Rectification Plan)</w:t>
            </w:r>
            <w:r w:rsidDel="00000000" w:rsidR="00000000" w:rsidRPr="00000000">
              <w:rPr>
                <w:rtl w:val="0"/>
              </w:rPr>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12 (Supply Chain Visibility)</w:t>
            </w:r>
            <w:r w:rsidDel="00000000" w:rsidR="00000000" w:rsidRPr="00000000">
              <w:rPr>
                <w:rtl w:val="0"/>
              </w:rPr>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color w:val="000000"/>
                <w:sz w:val="24"/>
                <w:szCs w:val="24"/>
                <w:highlight w:val="white"/>
                <w:rtl w:val="0"/>
              </w:rPr>
              <w:t xml:space="preserve">RM6116</w:t>
            </w:r>
            <w:r w:rsidDel="00000000" w:rsidR="00000000" w:rsidRPr="00000000">
              <w:rPr>
                <w:rtl w:val="0"/>
              </w:rPr>
            </w:r>
          </w:p>
          <w:p w:rsidR="00000000" w:rsidDel="00000000" w:rsidP="00000000" w:rsidRDefault="00000000" w:rsidRPr="00000000" w14:paraId="0000008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w:t>
            </w:r>
            <w:r w:rsidDel="00000000" w:rsidR="00000000" w:rsidRPr="00000000">
              <w:rPr>
                <w:rFonts w:ascii="Arial" w:cs="Arial" w:eastAsia="Arial" w:hAnsi="Arial"/>
                <w:color w:val="000000"/>
                <w:sz w:val="24"/>
                <w:szCs w:val="24"/>
                <w:highlight w:val="white"/>
                <w:rtl w:val="0"/>
              </w:rPr>
              <w:t xml:space="preserve"> RM6116 </w:t>
            </w:r>
            <w:r w:rsidDel="00000000" w:rsidR="00000000" w:rsidRPr="00000000">
              <w:rPr>
                <w:rFonts w:ascii="Arial" w:cs="Arial" w:eastAsia="Arial" w:hAnsi="Arial"/>
                <w:color w:val="000000"/>
                <w:sz w:val="24"/>
                <w:szCs w:val="24"/>
                <w:rtl w:val="0"/>
              </w:rPr>
              <w:t xml:space="preserve">as long as any part of the Framework Tender that offers a better commercial position for CCS or Buyers (as decided by CCS) take precedence over the documents above </w:t>
            </w:r>
          </w:p>
          <w:p w:rsidR="00000000" w:rsidDel="00000000" w:rsidP="00000000" w:rsidRDefault="00000000" w:rsidRPr="00000000" w14:paraId="00000083">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(Supplier Operational Terms)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9">
            <w:pPr>
              <w:spacing w:after="0" w:line="240" w:lineRule="auto"/>
              <w:rPr>
                <w:rFonts w:ascii="Arial" w:cs="Arial" w:eastAsia="Arial" w:hAnsi="Arial"/>
                <w:sz w:val="24"/>
                <w:szCs w:val="24"/>
                <w:highlight w:val="yellow"/>
              </w:rPr>
            </w:pPr>
            <w:r w:rsidDel="00000000" w:rsidR="00000000" w:rsidRPr="00000000">
              <w:rPr>
                <w:rtl w:val="0"/>
              </w:rPr>
            </w:r>
          </w:p>
          <w:tbl>
            <w:tblPr>
              <w:tblStyle w:val="Table3"/>
              <w:tblW w:w="78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5790"/>
              <w:tblGridChange w:id="0">
                <w:tblGrid>
                  <w:gridCol w:w="2040"/>
                  <w:gridCol w:w="57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w:t>
                  </w:r>
                </w:p>
              </w:tc>
              <w:tc>
                <w:tcPr>
                  <w:shd w:fill="auto" w:val="clear"/>
                  <w:tcMar>
                    <w:top w:w="100.0" w:type="dxa"/>
                    <w:left w:w="100.0" w:type="dxa"/>
                    <w:bottom w:w="100.0" w:type="dxa"/>
                    <w:right w:w="100.0" w:type="dxa"/>
                  </w:tcMar>
                </w:tcPr>
                <w:p w:rsidR="00000000" w:rsidDel="00000000" w:rsidP="00000000" w:rsidRDefault="00000000" w:rsidRPr="00000000" w14:paraId="0000008B">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new Clause 2.11 shall be added to the Core Terms:</w:t>
                  </w:r>
                </w:p>
                <w:p w:rsidR="00000000" w:rsidDel="00000000" w:rsidP="00000000" w:rsidRDefault="00000000" w:rsidRPr="00000000" w14:paraId="0000008C">
                  <w:pP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Supplier shall operate the Catalogue in accordance with Framework Schedule 1 (Specification).”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w:t>
                  </w:r>
                </w:p>
              </w:tc>
              <w:tc>
                <w:tcPr>
                  <w:shd w:fill="auto" w:val="clear"/>
                  <w:tcMar>
                    <w:top w:w="100.0" w:type="dxa"/>
                    <w:left w:w="100.0" w:type="dxa"/>
                    <w:bottom w:w="100.0" w:type="dxa"/>
                    <w:right w:w="100.0" w:type="dxa"/>
                  </w:tcMar>
                </w:tcPr>
                <w:p w:rsidR="00000000" w:rsidDel="00000000" w:rsidP="00000000" w:rsidRDefault="00000000" w:rsidRPr="00000000" w14:paraId="0000008E">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3.2.11 of the Core Terms shall be deleted and replaced with the following:</w:t>
                  </w:r>
                </w:p>
                <w:p w:rsidR="00000000" w:rsidDel="00000000" w:rsidP="00000000" w:rsidRDefault="00000000" w:rsidRPr="00000000" w14:paraId="0000008F">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used.”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w:t>
                  </w:r>
                </w:p>
              </w:tc>
              <w:tc>
                <w:tcPr>
                  <w:shd w:fill="auto" w:val="clear"/>
                  <w:tcMar>
                    <w:top w:w="100.0" w:type="dxa"/>
                    <w:left w:w="100.0" w:type="dxa"/>
                    <w:bottom w:w="100.0" w:type="dxa"/>
                    <w:right w:w="100.0" w:type="dxa"/>
                  </w:tcMar>
                </w:tcPr>
                <w:p w:rsidR="00000000" w:rsidDel="00000000" w:rsidP="00000000" w:rsidRDefault="00000000" w:rsidRPr="00000000" w14:paraId="00000091">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3.2.2 of the Core Terms shall be deleted and replaced with the following:</w:t>
                  </w:r>
                </w:p>
                <w:p w:rsidR="00000000" w:rsidDel="00000000" w:rsidP="00000000" w:rsidRDefault="00000000" w:rsidRPr="00000000" w14:paraId="00000092">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used.”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w:t>
                  </w:r>
                </w:p>
              </w:tc>
              <w:tc>
                <w:tcPr>
                  <w:shd w:fill="auto" w:val="clear"/>
                  <w:tcMar>
                    <w:top w:w="100.0" w:type="dxa"/>
                    <w:left w:w="100.0" w:type="dxa"/>
                    <w:bottom w:w="100.0" w:type="dxa"/>
                    <w:right w:w="100.0" w:type="dxa"/>
                  </w:tcMar>
                </w:tcPr>
                <w:p w:rsidR="00000000" w:rsidDel="00000000" w:rsidP="00000000" w:rsidRDefault="00000000" w:rsidRPr="00000000" w14:paraId="00000094">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7.4 of the Core Terms shall be deleted and replaced with the following:</w:t>
                  </w:r>
                </w:p>
                <w:p w:rsidR="00000000" w:rsidDel="00000000" w:rsidP="00000000" w:rsidRDefault="00000000" w:rsidRPr="00000000" w14:paraId="00000095">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white"/>
                      <w:rtl w:val="0"/>
                    </w:rPr>
                    <w:t xml:space="preserve">If requested, the Supplier will provide a list of Supplier Staff needing access to the Buyer's Premises and say why access is required”</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w:t>
                  </w:r>
                </w:p>
              </w:tc>
              <w:tc>
                <w:tcPr>
                  <w:shd w:fill="auto" w:val="clear"/>
                  <w:tcMar>
                    <w:top w:w="100.0" w:type="dxa"/>
                    <w:left w:w="100.0" w:type="dxa"/>
                    <w:bottom w:w="100.0" w:type="dxa"/>
                    <w:right w:w="100.0" w:type="dxa"/>
                  </w:tcMar>
                </w:tcPr>
                <w:p w:rsidR="00000000" w:rsidDel="00000000" w:rsidP="00000000" w:rsidRDefault="00000000" w:rsidRPr="00000000" w14:paraId="00000097">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8.7 of the Core Terms shall be deleted and replaced with the following:</w:t>
                  </w:r>
                </w:p>
                <w:p w:rsidR="00000000" w:rsidDel="00000000" w:rsidP="00000000" w:rsidRDefault="00000000" w:rsidRPr="00000000" w14:paraId="00000098">
                  <w:pPr>
                    <w:widowControl w:val="0"/>
                    <w:spacing w:after="0" w:befor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white"/>
                      <w:rtl w:val="0"/>
                    </w:rPr>
                    <w:t xml:space="preserve">“The Supplier shall assign to the Buyer, or if it is unable to do so, shall (to the extent it is legally able to do so) hold on trust for the sole benefit of the Buyer, those warranties and indemnities provided by third parties that are specifically associated with and particular to the Deliverables provided to the Buyer. Where any such warranties are held on trust, the Supplier shall enforce such warranties as required by the Buyer on the Buyer’s behalf in order to provide the Services and shall do so in accordance with any reasonable directions that the Buyer may notify from time to time to the Supplier.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6</w:t>
                  </w:r>
                </w:p>
              </w:tc>
              <w:tc>
                <w:tcPr>
                  <w:shd w:fill="auto" w:val="clear"/>
                  <w:tcMar>
                    <w:top w:w="100.0" w:type="dxa"/>
                    <w:left w:w="100.0" w:type="dxa"/>
                    <w:bottom w:w="100.0" w:type="dxa"/>
                    <w:right w:w="100.0" w:type="dxa"/>
                  </w:tcMar>
                </w:tcPr>
                <w:p w:rsidR="00000000" w:rsidDel="00000000" w:rsidP="00000000" w:rsidRDefault="00000000" w:rsidRPr="00000000" w14:paraId="0000009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11.2 – amend “£5 million” to “£1 million”</w:t>
                  </w:r>
                </w:p>
                <w:p w:rsidR="00000000" w:rsidDel="00000000" w:rsidP="00000000" w:rsidRDefault="00000000" w:rsidRPr="00000000" w14:paraId="0000009B">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7</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14.1 of the Core Terms shall be deleted and replaced with the following:</w:t>
                  </w:r>
                </w:p>
                <w:p w:rsidR="00000000" w:rsidDel="00000000" w:rsidP="00000000" w:rsidRDefault="00000000" w:rsidRPr="00000000" w14:paraId="0000009F">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acknowledge that for the purposes of the Data Protection Legislation, the Relevant Authority is the Controller and the Supplier is the Processor unless otherwise specified in Joint Schedule 11. The Supplier must process Personal Data and ensure that Supplier Staff process Personal Data only in accordance with Joint Schedule 11 (Processing Data).”</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8</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A2">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24.2 – add the following additional text at the end of the Clause :</w:t>
                  </w:r>
                </w:p>
                <w:p w:rsidR="00000000" w:rsidDel="00000000" w:rsidP="00000000" w:rsidRDefault="00000000" w:rsidRPr="00000000" w14:paraId="000000A3">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4">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needs resources other than those ordinarily used in the provision of the Service in order to complete an Impact Assessment requested by the Buyer, the Supplier must tell the Buyer before beginning the Impact Assessment.  If the Buyer wants the Impact Assessment to go ahead, the Buyer shall pay any reasonable costs incurred by the Supplier in producing the Impact Assessment.  To be clear, the Supplier will not be able to recover costs incurred during the Impact Assessment that the Buyer didn’t agree before the Impact Assessment began.”</w:t>
                  </w:r>
                </w:p>
                <w:p w:rsidR="00000000" w:rsidDel="00000000" w:rsidP="00000000" w:rsidRDefault="00000000" w:rsidRPr="00000000" w14:paraId="000000A5">
                  <w:pPr>
                    <w:spacing w:after="0" w:line="24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9</w:t>
                  </w:r>
                </w:p>
              </w:tc>
              <w:tc>
                <w:tcPr>
                  <w:shd w:fill="auto" w:val="clear"/>
                  <w:tcMar>
                    <w:top w:w="100.0" w:type="dxa"/>
                    <w:left w:w="100.0" w:type="dxa"/>
                    <w:bottom w:w="100.0" w:type="dxa"/>
                    <w:right w:w="100.0" w:type="dxa"/>
                  </w:tcMar>
                </w:tcPr>
                <w:p w:rsidR="00000000" w:rsidDel="00000000" w:rsidP="00000000" w:rsidRDefault="00000000" w:rsidRPr="00000000" w14:paraId="000000A7">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 add the following provision:</w:t>
                  </w:r>
                </w:p>
                <w:p w:rsidR="00000000" w:rsidDel="00000000" w:rsidP="00000000" w:rsidRDefault="00000000" w:rsidRPr="00000000" w14:paraId="000000A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9">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“36. Telecoms Expense Management</w:t>
                  </w:r>
                </w:p>
                <w:p w:rsidR="00000000" w:rsidDel="00000000" w:rsidP="00000000" w:rsidRDefault="00000000" w:rsidRPr="00000000" w14:paraId="000000AA">
                  <w:pP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Supplier shall provide without charge to a TEM Provider nominated by the Buyer the detailed invoice data for each Buyer in receipt of Deliverables in an Electronic Data Interchange (EDI) format at the same frequency as it is received by that Buyer, subject to the TEM Provider agreeing to enter into a direct confidentiality agreement with the Supplier on terms equivalent to the terms set out in Clause 15 (What you must keep Confidential).”</w:t>
                  </w:r>
                  <w:r w:rsidDel="00000000" w:rsidR="00000000" w:rsidRPr="00000000">
                    <w:rPr>
                      <w:rtl w:val="0"/>
                    </w:rPr>
                  </w:r>
                </w:p>
              </w:tc>
            </w:tr>
            <w:tr>
              <w:trPr>
                <w:cantSplit w:val="0"/>
                <w:trHeight w:val="15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10</w:t>
                  </w:r>
                </w:p>
              </w:tc>
              <w:tc>
                <w:tcPr>
                  <w:shd w:fill="auto" w:val="clear"/>
                  <w:tcMar>
                    <w:top w:w="100.0" w:type="dxa"/>
                    <w:left w:w="100.0" w:type="dxa"/>
                    <w:bottom w:w="100.0" w:type="dxa"/>
                    <w:right w:w="100.0" w:type="dxa"/>
                  </w:tcMar>
                </w:tcPr>
                <w:p w:rsidR="00000000" w:rsidDel="00000000" w:rsidP="00000000" w:rsidRDefault="00000000" w:rsidRPr="00000000" w14:paraId="000000AC">
                  <w:pPr>
                    <w:spacing w:after="0"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5 – Corporate Social Responsibility</w:t>
                  </w:r>
                </w:p>
                <w:p w:rsidR="00000000" w:rsidDel="00000000" w:rsidP="00000000" w:rsidRDefault="00000000" w:rsidRPr="00000000" w14:paraId="000000AD">
                  <w:pPr>
                    <w:spacing w:after="0" w:line="240" w:lineRule="auto"/>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AE">
                  <w:pPr>
                    <w:spacing w:after="0"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application of clause 3.1.8 within Joint Schedule 5 - Corporate Social Responsibility applies only in respect of Lot 1a</w:t>
                  </w:r>
                </w:p>
              </w:tc>
            </w:tr>
            <w:tr>
              <w:trPr>
                <w:cantSplit w:val="0"/>
                <w:trHeight w:val="15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11</w:t>
                  </w:r>
                </w:p>
              </w:tc>
              <w:tc>
                <w:tcPr>
                  <w:shd w:fill="auto" w:val="clear"/>
                  <w:tcMar>
                    <w:top w:w="100.0" w:type="dxa"/>
                    <w:left w:w="100.0" w:type="dxa"/>
                    <w:bottom w:w="100.0" w:type="dxa"/>
                    <w:right w:w="10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Clause 10.2.2  of the Core Terms shall be deleted and replaced with the following:</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“Each Buyer has the right to terminate their Call-Off Contract at any time by giving the Supplier not less than the minimum period of notice specified in the Order Form or 90 days (whichever is greater)."</w:t>
                  </w:r>
                </w:p>
              </w:tc>
            </w:tr>
          </w:tbl>
          <w:p w:rsidR="00000000" w:rsidDel="00000000" w:rsidP="00000000" w:rsidRDefault="00000000" w:rsidRPr="00000000" w14:paraId="000000B3">
            <w:pPr>
              <w:spacing w:after="0" w:line="240" w:lineRule="auto"/>
              <w:rPr>
                <w:rFonts w:ascii="Arial" w:cs="Arial" w:eastAsia="Arial" w:hAnsi="Arial"/>
                <w:sz w:val="24"/>
                <w:szCs w:val="24"/>
                <w:highlight w:val="yellow"/>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B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D">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white"/>
                <w:rtl w:val="0"/>
              </w:rPr>
              <w:t xml:space="preserve">Cyber Essentials Scheme Certificate (or equivalent). Suppliers must provide evidence of their CE certificate (or equivalent ISO27001) to be awarded to the framework. Details in Framework Schedule 9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B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C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w:t>
            </w:r>
            <w:r w:rsidDel="00000000" w:rsidR="00000000" w:rsidRPr="00000000">
              <w:rPr>
                <w:rFonts w:ascii="Arial" w:cs="Arial" w:eastAsia="Arial" w:hAnsi="Arial"/>
                <w:b w:val="1"/>
                <w:color w:val="000000"/>
                <w:sz w:val="24"/>
                <w:szCs w:val="24"/>
                <w:highlight w:val="white"/>
                <w:rtl w:val="0"/>
              </w:rPr>
              <w:t xml:space="preserve">1% </w:t>
            </w:r>
            <w:r w:rsidDel="00000000" w:rsidR="00000000" w:rsidRPr="00000000">
              <w:rPr>
                <w:rFonts w:ascii="Arial" w:cs="Arial" w:eastAsia="Arial" w:hAnsi="Arial"/>
                <w:color w:val="000000"/>
                <w:sz w:val="24"/>
                <w:szCs w:val="24"/>
                <w:rtl w:val="0"/>
              </w:rPr>
              <w:t xml:space="preserve">Management Charge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C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5">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9">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D1">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2">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D9">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DC">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If Applicable - Please see embedded folder within the Framework Contract Documents folder or N/A</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E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rPr>
          <w:rFonts w:ascii="Arial" w:cs="Arial" w:eastAsia="Arial" w:hAnsi="Arial"/>
          <w:sz w:val="24"/>
          <w:szCs w:val="24"/>
        </w:rPr>
      </w:pPr>
      <w:r w:rsidDel="00000000" w:rsidR="00000000" w:rsidRPr="00000000">
        <w:rPr>
          <w:rtl w:val="0"/>
        </w:rPr>
      </w:r>
    </w:p>
    <w:tbl>
      <w:tblPr>
        <w:tblStyle w:val="Table4"/>
        <w:tblW w:w="9170.000000000002" w:type="dxa"/>
        <w:jc w:val="left"/>
        <w:tblInd w:w="-10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FD">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0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7">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 Network Services 3</w:t>
      <w:tab/>
      <w:t xml:space="preserve">                                           </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vFinal1.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8.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2.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